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417BA565" w14:textId="65DE92C9" w:rsidR="008624DD" w:rsidRDefault="00566370" w:rsidP="008624DD">
      <w:pPr>
        <w:spacing w:after="120"/>
        <w:ind w:firstLine="0"/>
        <w:rPr>
          <w:sz w:val="24"/>
          <w:szCs w:val="24"/>
        </w:rPr>
      </w:pPr>
      <w:r w:rsidRPr="00566370">
        <w:rPr>
          <w:sz w:val="24"/>
          <w:szCs w:val="24"/>
        </w:rPr>
        <w:t xml:space="preserve">Україна, м. </w:t>
      </w:r>
      <w:r w:rsidR="00B21E60">
        <w:rPr>
          <w:sz w:val="24"/>
          <w:szCs w:val="24"/>
        </w:rPr>
        <w:t>Суми</w:t>
      </w:r>
    </w:p>
    <w:p w14:paraId="4E029E45" w14:textId="77077DD1" w:rsidR="00566370" w:rsidRPr="00566370" w:rsidRDefault="00566370" w:rsidP="00566370">
      <w:pPr>
        <w:spacing w:after="120"/>
        <w:jc w:val="both"/>
        <w:rPr>
          <w:sz w:val="24"/>
          <w:szCs w:val="24"/>
        </w:rPr>
      </w:pPr>
      <w:r w:rsidRPr="00566370">
        <w:rPr>
          <w:b/>
          <w:bCs/>
          <w:sz w:val="24"/>
          <w:szCs w:val="24"/>
        </w:rPr>
        <w:t>Товариство з обмеженою відповідальністю «</w:t>
      </w:r>
      <w:r w:rsidR="00B21E60">
        <w:rPr>
          <w:b/>
          <w:bCs/>
          <w:sz w:val="24"/>
          <w:szCs w:val="24"/>
        </w:rPr>
        <w:t>МАЛС</w:t>
      </w:r>
      <w:r w:rsidRPr="00566370">
        <w:rPr>
          <w:b/>
          <w:bCs/>
          <w:sz w:val="24"/>
          <w:szCs w:val="24"/>
        </w:rPr>
        <w:t>»</w:t>
      </w:r>
      <w:r w:rsidRPr="00566370">
        <w:rPr>
          <w:sz w:val="24"/>
          <w:szCs w:val="24"/>
        </w:rPr>
        <w:t xml:space="preserve"> (далі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w:t>
      </w:r>
      <w:r w:rsidRPr="00E37477">
        <w:rPr>
          <w:sz w:val="24"/>
          <w:szCs w:val="24"/>
        </w:rPr>
        <w:t xml:space="preserve">реєстру </w:t>
      </w:r>
      <w:r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 xml:space="preserve">рішенням НКЕК № </w:t>
      </w:r>
      <w:r w:rsidR="00B21E60">
        <w:rPr>
          <w:color w:val="000000" w:themeColor="text1"/>
          <w:sz w:val="24"/>
          <w:szCs w:val="24"/>
          <w:shd w:val="clear" w:color="auto" w:fill="FFFFFF"/>
        </w:rPr>
        <w:t>312</w:t>
      </w:r>
      <w:r w:rsidR="00E37477" w:rsidRPr="00E37477">
        <w:rPr>
          <w:color w:val="000000" w:themeColor="text1"/>
          <w:sz w:val="24"/>
          <w:szCs w:val="24"/>
          <w:shd w:val="clear" w:color="auto" w:fill="FFFFFF"/>
        </w:rPr>
        <w:t xml:space="preserve"> від </w:t>
      </w:r>
      <w:r w:rsidR="00B21E60">
        <w:rPr>
          <w:color w:val="000000" w:themeColor="text1"/>
          <w:sz w:val="24"/>
          <w:szCs w:val="24"/>
          <w:shd w:val="clear" w:color="auto" w:fill="FFFFFF"/>
        </w:rPr>
        <w:t>08</w:t>
      </w:r>
      <w:r w:rsidR="00E37477" w:rsidRPr="00E37477">
        <w:rPr>
          <w:color w:val="000000" w:themeColor="text1"/>
          <w:sz w:val="24"/>
          <w:szCs w:val="24"/>
          <w:shd w:val="clear" w:color="auto" w:fill="FFFFFF"/>
        </w:rPr>
        <w:t>.0</w:t>
      </w:r>
      <w:r w:rsidR="00B21E60">
        <w:rPr>
          <w:color w:val="000000" w:themeColor="text1"/>
          <w:sz w:val="24"/>
          <w:szCs w:val="24"/>
          <w:shd w:val="clear" w:color="auto" w:fill="FFFFFF"/>
        </w:rPr>
        <w:t>7</w:t>
      </w:r>
      <w:r w:rsidR="00E37477" w:rsidRPr="00E37477">
        <w:rPr>
          <w:color w:val="000000" w:themeColor="text1"/>
          <w:sz w:val="24"/>
          <w:szCs w:val="24"/>
          <w:shd w:val="clear" w:color="auto" w:fill="FFFFFF"/>
        </w:rPr>
        <w:t>.2022 р</w:t>
      </w:r>
      <w:r w:rsidRPr="00E37477">
        <w:rPr>
          <w:color w:val="000000" w:themeColor="text1"/>
          <w:sz w:val="24"/>
          <w:szCs w:val="24"/>
        </w:rPr>
        <w:t xml:space="preserve">, </w:t>
      </w:r>
      <w:r w:rsidRPr="00E37477">
        <w:rPr>
          <w:sz w:val="24"/>
          <w:szCs w:val="24"/>
        </w:rPr>
        <w:t>та</w:t>
      </w:r>
      <w:r w:rsidRPr="00566370">
        <w:rPr>
          <w:sz w:val="24"/>
          <w:szCs w:val="24"/>
        </w:rPr>
        <w:t xml:space="preserve"> є платником податку на прибуток на загальних підставах, в особі </w:t>
      </w:r>
      <w:r w:rsidRPr="003A6031">
        <w:rPr>
          <w:sz w:val="24"/>
          <w:szCs w:val="24"/>
        </w:rPr>
        <w:t xml:space="preserve">Директора </w:t>
      </w:r>
      <w:r w:rsidR="00B21E60" w:rsidRPr="00B21E60">
        <w:rPr>
          <w:sz w:val="24"/>
          <w:szCs w:val="24"/>
        </w:rPr>
        <w:t>ГАЛЬЧЕНКА Володимира Олександровича</w:t>
      </w:r>
      <w:r w:rsidRPr="003A6031">
        <w:rPr>
          <w:sz w:val="24"/>
          <w:szCs w:val="24"/>
        </w:rPr>
        <w:t>,</w:t>
      </w:r>
      <w:r w:rsidRPr="00566370">
        <w:rPr>
          <w:sz w:val="24"/>
          <w:szCs w:val="24"/>
        </w:rPr>
        <w:t xml:space="preserve"> який діє на підставі Статуту, керуючись ст. 633 Цивільного кодексу України, пропонує необмеженому колу фізичних осіб</w:t>
      </w:r>
      <w:r w:rsidR="0015216D">
        <w:rPr>
          <w:sz w:val="24"/>
          <w:szCs w:val="24"/>
        </w:rPr>
        <w:t xml:space="preserve">, </w:t>
      </w:r>
      <w:r w:rsidR="0015216D">
        <w:rPr>
          <w:kern w:val="0"/>
          <w:sz w:val="24"/>
          <w:szCs w:val="24"/>
        </w:rPr>
        <w:t>юридичних осіб та організацій</w:t>
      </w:r>
      <w:r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Pr="00566370">
        <w:rPr>
          <w:sz w:val="24"/>
          <w:szCs w:val="24"/>
        </w:rPr>
        <w:t xml:space="preserve"> «Договір»), відповідно до Закону України «Про електронні комунікації» (далі </w:t>
      </w:r>
      <w:r w:rsidR="00973D06">
        <w:rPr>
          <w:sz w:val="24"/>
          <w:szCs w:val="24"/>
        </w:rPr>
        <w:t>–</w:t>
      </w:r>
      <w:r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7"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B21E60">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8"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9"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735D4EE2"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C95472" w:rsidRPr="008560A8">
        <w:rPr>
          <w:rStyle w:val="v1gmail-phone"/>
          <w:color w:val="000000" w:themeColor="text1"/>
          <w:sz w:val="24"/>
          <w:szCs w:val="24"/>
          <w:bdr w:val="none" w:sz="0" w:space="0" w:color="auto" w:frame="1"/>
        </w:rPr>
        <w:t>(0</w:t>
      </w:r>
      <w:r w:rsidR="008560A8" w:rsidRPr="008560A8">
        <w:rPr>
          <w:rStyle w:val="v1gmail-phone"/>
          <w:color w:val="000000" w:themeColor="text1"/>
          <w:sz w:val="24"/>
          <w:szCs w:val="24"/>
          <w:bdr w:val="none" w:sz="0" w:space="0" w:color="auto" w:frame="1"/>
        </w:rPr>
        <w:t>542</w:t>
      </w:r>
      <w:r w:rsidR="00C95472" w:rsidRPr="008560A8">
        <w:rPr>
          <w:rStyle w:val="v1gmail-phone"/>
          <w:color w:val="000000" w:themeColor="text1"/>
          <w:sz w:val="24"/>
          <w:szCs w:val="24"/>
          <w:bdr w:val="none" w:sz="0" w:space="0" w:color="auto" w:frame="1"/>
        </w:rPr>
        <w:t>)</w:t>
      </w:r>
      <w:r w:rsidR="008560A8" w:rsidRPr="008560A8">
        <w:rPr>
          <w:rStyle w:val="v1gmail-phone"/>
          <w:color w:val="000000" w:themeColor="text1"/>
          <w:sz w:val="24"/>
          <w:szCs w:val="24"/>
          <w:bdr w:val="none" w:sz="0" w:space="0" w:color="auto" w:frame="1"/>
        </w:rPr>
        <w:t>650-000</w:t>
      </w:r>
      <w:r w:rsidR="00C95472" w:rsidRPr="008560A8">
        <w:rPr>
          <w:rStyle w:val="v1gmail-phone"/>
          <w:color w:val="000000" w:themeColor="text1"/>
          <w:sz w:val="24"/>
          <w:szCs w:val="24"/>
          <w:bdr w:val="none" w:sz="0" w:space="0" w:color="auto" w:frame="1"/>
          <w:lang w:val="ru-RU"/>
        </w:rPr>
        <w:t xml:space="preserve">, </w:t>
      </w:r>
      <w:r w:rsidR="00C95472" w:rsidRPr="008560A8">
        <w:rPr>
          <w:rStyle w:val="v1gmail-phone"/>
          <w:color w:val="000000" w:themeColor="text1"/>
          <w:sz w:val="24"/>
          <w:szCs w:val="24"/>
          <w:bdr w:val="none" w:sz="0" w:space="0" w:color="auto" w:frame="1"/>
        </w:rPr>
        <w:t>(0</w:t>
      </w:r>
      <w:r w:rsidR="008560A8" w:rsidRPr="008560A8">
        <w:rPr>
          <w:rStyle w:val="v1gmail-phone"/>
          <w:color w:val="000000" w:themeColor="text1"/>
          <w:sz w:val="24"/>
          <w:szCs w:val="24"/>
          <w:bdr w:val="none" w:sz="0" w:space="0" w:color="auto" w:frame="1"/>
        </w:rPr>
        <w:t>95</w:t>
      </w:r>
      <w:r w:rsidR="00C95472" w:rsidRPr="008560A8">
        <w:rPr>
          <w:rStyle w:val="v1gmail-phone"/>
          <w:color w:val="000000" w:themeColor="text1"/>
          <w:sz w:val="24"/>
          <w:szCs w:val="24"/>
          <w:bdr w:val="none" w:sz="0" w:space="0" w:color="auto" w:frame="1"/>
        </w:rPr>
        <w:t>)</w:t>
      </w:r>
      <w:r w:rsidR="008560A8" w:rsidRPr="008560A8">
        <w:rPr>
          <w:rStyle w:val="v1gmail-phone"/>
          <w:color w:val="000000" w:themeColor="text1"/>
          <w:sz w:val="24"/>
          <w:szCs w:val="24"/>
          <w:bdr w:val="none" w:sz="0" w:space="0" w:color="auto" w:frame="1"/>
        </w:rPr>
        <w:t>368-08-68</w:t>
      </w:r>
      <w:r w:rsidR="00C95472" w:rsidRPr="008560A8">
        <w:rPr>
          <w:rStyle w:val="v1gmail-phone"/>
          <w:color w:val="000000" w:themeColor="text1"/>
          <w:sz w:val="24"/>
          <w:szCs w:val="24"/>
          <w:bdr w:val="none" w:sz="0" w:space="0" w:color="auto" w:frame="1"/>
          <w:lang w:val="ru-RU"/>
        </w:rPr>
        <w:t xml:space="preserve">, </w:t>
      </w:r>
      <w:r w:rsidR="00C95472" w:rsidRPr="008560A8">
        <w:rPr>
          <w:rStyle w:val="v1gmail-phone"/>
          <w:color w:val="000000" w:themeColor="text1"/>
          <w:sz w:val="24"/>
          <w:szCs w:val="24"/>
          <w:bdr w:val="none" w:sz="0" w:space="0" w:color="auto" w:frame="1"/>
        </w:rPr>
        <w:t>(06</w:t>
      </w:r>
      <w:r w:rsidR="008560A8" w:rsidRPr="008560A8">
        <w:rPr>
          <w:rStyle w:val="v1gmail-phone"/>
          <w:color w:val="000000" w:themeColor="text1"/>
          <w:sz w:val="24"/>
          <w:szCs w:val="24"/>
          <w:bdr w:val="none" w:sz="0" w:space="0" w:color="auto" w:frame="1"/>
        </w:rPr>
        <w:t>8</w:t>
      </w:r>
      <w:r w:rsidR="00C95472" w:rsidRPr="008560A8">
        <w:rPr>
          <w:rStyle w:val="v1gmail-phone"/>
          <w:color w:val="000000" w:themeColor="text1"/>
          <w:sz w:val="24"/>
          <w:szCs w:val="24"/>
          <w:bdr w:val="none" w:sz="0" w:space="0" w:color="auto" w:frame="1"/>
        </w:rPr>
        <w:t>)</w:t>
      </w:r>
      <w:r w:rsidR="008560A8" w:rsidRPr="008560A8">
        <w:rPr>
          <w:rStyle w:val="v1gmail-phone"/>
          <w:color w:val="000000" w:themeColor="text1"/>
          <w:sz w:val="24"/>
          <w:szCs w:val="24"/>
          <w:bdr w:val="none" w:sz="0" w:space="0" w:color="auto" w:frame="1"/>
        </w:rPr>
        <w:t>634-87-38</w:t>
      </w:r>
      <w:r w:rsidRPr="008560A8">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28988787" w14:textId="77777777" w:rsidR="008560A8"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10"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p>
    <w:p w14:paraId="1FF7EB80" w14:textId="7E940DA2" w:rsidR="00566370" w:rsidRPr="00566370" w:rsidRDefault="008560A8" w:rsidP="008560A8">
      <w:pPr>
        <w:spacing w:after="120"/>
        <w:ind w:firstLine="0"/>
        <w:jc w:val="both"/>
        <w:rPr>
          <w:sz w:val="24"/>
          <w:szCs w:val="24"/>
        </w:rPr>
      </w:pPr>
      <w:bookmarkStart w:id="0" w:name="_GoBack"/>
      <w:r w:rsidRPr="008560A8">
        <w:rPr>
          <w:rStyle w:val="v1gmail-phone"/>
          <w:color w:val="000000" w:themeColor="text1"/>
          <w:sz w:val="24"/>
          <w:szCs w:val="24"/>
          <w:bdr w:val="none" w:sz="0" w:space="0" w:color="auto" w:frame="1"/>
        </w:rPr>
        <w:t>(0542)650-000</w:t>
      </w:r>
      <w:r w:rsidRPr="008560A8">
        <w:rPr>
          <w:rStyle w:val="v1gmail-phone"/>
          <w:color w:val="000000" w:themeColor="text1"/>
          <w:sz w:val="24"/>
          <w:szCs w:val="24"/>
          <w:bdr w:val="none" w:sz="0" w:space="0" w:color="auto" w:frame="1"/>
          <w:lang w:val="ru-RU"/>
        </w:rPr>
        <w:t xml:space="preserve">, </w:t>
      </w:r>
      <w:r w:rsidRPr="008560A8">
        <w:rPr>
          <w:rStyle w:val="v1gmail-phone"/>
          <w:color w:val="000000" w:themeColor="text1"/>
          <w:sz w:val="24"/>
          <w:szCs w:val="24"/>
          <w:bdr w:val="none" w:sz="0" w:space="0" w:color="auto" w:frame="1"/>
        </w:rPr>
        <w:t>(095)368-08-68</w:t>
      </w:r>
      <w:r w:rsidRPr="008560A8">
        <w:rPr>
          <w:rStyle w:val="v1gmail-phone"/>
          <w:color w:val="000000" w:themeColor="text1"/>
          <w:sz w:val="24"/>
          <w:szCs w:val="24"/>
          <w:bdr w:val="none" w:sz="0" w:space="0" w:color="auto" w:frame="1"/>
          <w:lang w:val="ru-RU"/>
        </w:rPr>
        <w:t xml:space="preserve">, </w:t>
      </w:r>
      <w:r w:rsidRPr="008560A8">
        <w:rPr>
          <w:rStyle w:val="v1gmail-phone"/>
          <w:color w:val="000000" w:themeColor="text1"/>
          <w:sz w:val="24"/>
          <w:szCs w:val="24"/>
          <w:bdr w:val="none" w:sz="0" w:space="0" w:color="auto" w:frame="1"/>
        </w:rPr>
        <w:t>(068)634-87-38</w:t>
      </w:r>
      <w:bookmarkEnd w:id="0"/>
      <w:r w:rsidR="00566370" w:rsidRPr="00C95472">
        <w:rPr>
          <w:color w:val="000000" w:themeColor="text1"/>
          <w:sz w:val="24"/>
          <w:szCs w:val="24"/>
        </w:rPr>
        <w:t>.</w:t>
      </w:r>
      <w:r w:rsidR="00566370"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634FB70E"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8560A8" w:rsidRPr="008560A8">
        <w:rPr>
          <w:rStyle w:val="v1gmail-phone"/>
          <w:color w:val="000000" w:themeColor="text1"/>
          <w:sz w:val="24"/>
          <w:szCs w:val="24"/>
          <w:bdr w:val="none" w:sz="0" w:space="0" w:color="auto" w:frame="1"/>
        </w:rPr>
        <w:t>(0542)650-000</w:t>
      </w:r>
      <w:r w:rsidR="008560A8" w:rsidRPr="008560A8">
        <w:rPr>
          <w:rStyle w:val="v1gmail-phone"/>
          <w:color w:val="000000" w:themeColor="text1"/>
          <w:sz w:val="24"/>
          <w:szCs w:val="24"/>
          <w:bdr w:val="none" w:sz="0" w:space="0" w:color="auto" w:frame="1"/>
          <w:lang w:val="ru-RU"/>
        </w:rPr>
        <w:t xml:space="preserve">, </w:t>
      </w:r>
      <w:r w:rsidR="008560A8" w:rsidRPr="008560A8">
        <w:rPr>
          <w:rStyle w:val="v1gmail-phone"/>
          <w:color w:val="000000" w:themeColor="text1"/>
          <w:sz w:val="24"/>
          <w:szCs w:val="24"/>
          <w:bdr w:val="none" w:sz="0" w:space="0" w:color="auto" w:frame="1"/>
        </w:rPr>
        <w:t>(095)368-08-68</w:t>
      </w:r>
      <w:r w:rsidR="008560A8" w:rsidRPr="008560A8">
        <w:rPr>
          <w:rStyle w:val="v1gmail-phone"/>
          <w:color w:val="000000" w:themeColor="text1"/>
          <w:sz w:val="24"/>
          <w:szCs w:val="24"/>
          <w:bdr w:val="none" w:sz="0" w:space="0" w:color="auto" w:frame="1"/>
          <w:lang w:val="ru-RU"/>
        </w:rPr>
        <w:t xml:space="preserve">, </w:t>
      </w:r>
      <w:r w:rsidR="008560A8" w:rsidRPr="008560A8">
        <w:rPr>
          <w:rStyle w:val="v1gmail-phone"/>
          <w:color w:val="000000" w:themeColor="text1"/>
          <w:sz w:val="24"/>
          <w:szCs w:val="24"/>
          <w:bdr w:val="none" w:sz="0" w:space="0" w:color="auto" w:frame="1"/>
        </w:rPr>
        <w:t>(068)634-87-38</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1"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566370" w:rsidRDefault="00566370" w:rsidP="00B15347">
      <w:pPr>
        <w:spacing w:after="120"/>
        <w:jc w:val="center"/>
        <w:rPr>
          <w:b/>
          <w:bCs/>
          <w:sz w:val="24"/>
          <w:szCs w:val="24"/>
        </w:rPr>
      </w:pPr>
      <w:r w:rsidRPr="00566370">
        <w:rPr>
          <w:b/>
          <w:bCs/>
          <w:sz w:val="24"/>
          <w:szCs w:val="24"/>
        </w:rPr>
        <w:t>10. РЕКВІЗИТИ ПОСТАЧАЛЬНИКА</w:t>
      </w:r>
    </w:p>
    <w:p w14:paraId="4FAB4B96" w14:textId="29E7601C" w:rsidR="00566370" w:rsidRPr="008560A8" w:rsidRDefault="00566370" w:rsidP="003A6031">
      <w:pPr>
        <w:spacing w:after="120"/>
        <w:ind w:right="3542" w:firstLine="0"/>
        <w:jc w:val="both"/>
        <w:rPr>
          <w:b/>
          <w:sz w:val="24"/>
          <w:szCs w:val="24"/>
        </w:rPr>
      </w:pPr>
      <w:r w:rsidRPr="008560A8">
        <w:rPr>
          <w:b/>
          <w:sz w:val="24"/>
          <w:szCs w:val="24"/>
        </w:rPr>
        <w:t xml:space="preserve">ТОВАРИСТВО З ОБМЕЖЕНОЮ ВІДПОВІДАЛЬНІСТЮ </w:t>
      </w:r>
      <w:r w:rsidR="008560A8" w:rsidRPr="008560A8">
        <w:rPr>
          <w:b/>
          <w:sz w:val="24"/>
          <w:szCs w:val="24"/>
        </w:rPr>
        <w:t xml:space="preserve">«МАЛС» </w:t>
      </w:r>
    </w:p>
    <w:p w14:paraId="2261D8D4" w14:textId="77777777" w:rsidR="003A6031" w:rsidRPr="00B21E60" w:rsidRDefault="00566370" w:rsidP="003A6031">
      <w:pPr>
        <w:spacing w:after="120"/>
        <w:ind w:right="3542" w:firstLine="0"/>
        <w:jc w:val="both"/>
        <w:rPr>
          <w:sz w:val="24"/>
          <w:szCs w:val="24"/>
        </w:rPr>
      </w:pPr>
      <w:r w:rsidRPr="00B21E60">
        <w:rPr>
          <w:sz w:val="24"/>
          <w:szCs w:val="24"/>
        </w:rPr>
        <w:t xml:space="preserve">Місцезнаходження та поштова адреса: </w:t>
      </w:r>
    </w:p>
    <w:p w14:paraId="12BA2E64" w14:textId="7BC6AD8C" w:rsidR="00B21E60" w:rsidRPr="00B21E60" w:rsidRDefault="00B21E60" w:rsidP="00B21E60">
      <w:pPr>
        <w:ind w:firstLine="0"/>
        <w:rPr>
          <w:sz w:val="24"/>
          <w:szCs w:val="24"/>
        </w:rPr>
      </w:pPr>
      <w:r w:rsidRPr="00B21E60">
        <w:rPr>
          <w:sz w:val="24"/>
          <w:szCs w:val="24"/>
        </w:rPr>
        <w:t>40000, м. Суми,</w:t>
      </w:r>
      <w:r>
        <w:rPr>
          <w:sz w:val="24"/>
          <w:szCs w:val="24"/>
        </w:rPr>
        <w:t xml:space="preserve"> </w:t>
      </w:r>
      <w:r w:rsidRPr="00B21E60">
        <w:rPr>
          <w:sz w:val="24"/>
          <w:szCs w:val="24"/>
        </w:rPr>
        <w:t>Майдан Незалежності б.1</w:t>
      </w:r>
    </w:p>
    <w:p w14:paraId="2CABD361" w14:textId="1DC02D22" w:rsidR="00566370" w:rsidRPr="00B21E60" w:rsidRDefault="00566370" w:rsidP="003A6031">
      <w:pPr>
        <w:spacing w:after="120"/>
        <w:ind w:right="3542" w:firstLine="0"/>
        <w:jc w:val="both"/>
        <w:rPr>
          <w:color w:val="000000" w:themeColor="text1"/>
          <w:sz w:val="24"/>
          <w:szCs w:val="24"/>
          <w:lang w:val="ru-RU"/>
        </w:rPr>
      </w:pPr>
      <w:r w:rsidRPr="00B21E60">
        <w:rPr>
          <w:color w:val="000000" w:themeColor="text1"/>
          <w:sz w:val="24"/>
          <w:szCs w:val="24"/>
        </w:rPr>
        <w:t xml:space="preserve">Адреса веб-сайту Постачальника: </w:t>
      </w:r>
      <w:hyperlink r:id="rId12" w:history="1">
        <w:r w:rsidR="00031488" w:rsidRPr="00B21E60">
          <w:rPr>
            <w:rStyle w:val="ad"/>
            <w:color w:val="000000" w:themeColor="text1"/>
            <w:sz w:val="24"/>
            <w:szCs w:val="24"/>
            <w:u w:val="none"/>
          </w:rPr>
          <w:t>www.chereda</w:t>
        </w:r>
        <w:r w:rsidR="00031488" w:rsidRPr="00B21E60">
          <w:rPr>
            <w:rStyle w:val="ad"/>
            <w:color w:val="000000" w:themeColor="text1"/>
            <w:sz w:val="24"/>
            <w:szCs w:val="24"/>
            <w:u w:val="none"/>
            <w:lang w:val="ru-RU"/>
          </w:rPr>
          <w:t>.</w:t>
        </w:r>
        <w:r w:rsidR="00031488" w:rsidRPr="00B21E60">
          <w:rPr>
            <w:rStyle w:val="ad"/>
            <w:color w:val="000000" w:themeColor="text1"/>
            <w:sz w:val="24"/>
            <w:szCs w:val="24"/>
            <w:u w:val="none"/>
            <w:lang w:val="en-US"/>
          </w:rPr>
          <w:t>net</w:t>
        </w:r>
      </w:hyperlink>
      <w:r w:rsidR="00031488" w:rsidRPr="00B21E60">
        <w:rPr>
          <w:color w:val="000000" w:themeColor="text1"/>
          <w:sz w:val="24"/>
          <w:szCs w:val="24"/>
          <w:lang w:val="ru-RU"/>
        </w:rPr>
        <w:t xml:space="preserve">. </w:t>
      </w:r>
    </w:p>
    <w:p w14:paraId="2D4FC479" w14:textId="77777777" w:rsidR="00B21E60" w:rsidRPr="00B21E60" w:rsidRDefault="00566370" w:rsidP="00B21E60">
      <w:pPr>
        <w:pStyle w:val="Default"/>
        <w:rPr>
          <w:rStyle w:val="phone"/>
          <w:color w:val="auto"/>
        </w:rPr>
      </w:pPr>
      <w:r w:rsidRPr="00B21E60">
        <w:rPr>
          <w:color w:val="000000" w:themeColor="text1"/>
        </w:rPr>
        <w:t xml:space="preserve">Контактний телефон: </w:t>
      </w:r>
      <w:r w:rsidR="00B21E60" w:rsidRPr="00B21E60">
        <w:rPr>
          <w:rStyle w:val="phone"/>
          <w:color w:val="auto"/>
        </w:rPr>
        <w:t>(0542) 65-00-00., 095 368-08-68., 068 634-87-38</w:t>
      </w:r>
    </w:p>
    <w:p w14:paraId="244F22F7" w14:textId="40EAEA2C" w:rsidR="00B21E60" w:rsidRPr="00B21E60" w:rsidRDefault="00B21E60" w:rsidP="00B21E60">
      <w:pPr>
        <w:pStyle w:val="Default"/>
        <w:rPr>
          <w:rStyle w:val="phone"/>
          <w:color w:val="auto"/>
        </w:rPr>
      </w:pPr>
    </w:p>
    <w:p w14:paraId="5F98309C" w14:textId="56FA38E0" w:rsidR="00566370" w:rsidRPr="00B21E60" w:rsidRDefault="00566370" w:rsidP="00B21E60">
      <w:pPr>
        <w:tabs>
          <w:tab w:val="left" w:pos="7938"/>
          <w:tab w:val="left" w:pos="8364"/>
        </w:tabs>
        <w:spacing w:after="120"/>
        <w:ind w:right="1557" w:firstLine="0"/>
        <w:jc w:val="both"/>
        <w:rPr>
          <w:color w:val="000000" w:themeColor="text1"/>
          <w:sz w:val="24"/>
          <w:szCs w:val="24"/>
        </w:rPr>
      </w:pPr>
      <w:r w:rsidRPr="00B21E60">
        <w:rPr>
          <w:color w:val="000000" w:themeColor="text1"/>
          <w:sz w:val="24"/>
          <w:szCs w:val="24"/>
        </w:rPr>
        <w:t>e-</w:t>
      </w:r>
      <w:proofErr w:type="spellStart"/>
      <w:r w:rsidRPr="00B21E60">
        <w:rPr>
          <w:color w:val="000000" w:themeColor="text1"/>
          <w:sz w:val="24"/>
          <w:szCs w:val="24"/>
        </w:rPr>
        <w:t>mail</w:t>
      </w:r>
      <w:proofErr w:type="spellEnd"/>
      <w:r w:rsidRPr="00B21E60">
        <w:rPr>
          <w:color w:val="000000" w:themeColor="text1"/>
          <w:sz w:val="24"/>
          <w:szCs w:val="24"/>
        </w:rPr>
        <w:t xml:space="preserve">: </w:t>
      </w:r>
      <w:proofErr w:type="spellStart"/>
      <w:r w:rsidR="00031488" w:rsidRPr="00B21E60">
        <w:rPr>
          <w:sz w:val="24"/>
          <w:szCs w:val="24"/>
        </w:rPr>
        <w:t>info</w:t>
      </w:r>
      <w:proofErr w:type="spellEnd"/>
      <w:r w:rsidR="00031488" w:rsidRPr="00B21E60">
        <w:rPr>
          <w:sz w:val="24"/>
          <w:szCs w:val="24"/>
        </w:rPr>
        <w:t>@chereda.net</w:t>
      </w:r>
      <w:r w:rsidR="00B21E60" w:rsidRPr="00B21E60">
        <w:rPr>
          <w:sz w:val="24"/>
          <w:szCs w:val="24"/>
        </w:rPr>
        <w:t xml:space="preserve">,  </w:t>
      </w:r>
      <w:hyperlink r:id="rId13" w:history="1">
        <w:r w:rsidR="00B21E60" w:rsidRPr="00B21E60">
          <w:rPr>
            <w:sz w:val="24"/>
            <w:szCs w:val="24"/>
          </w:rPr>
          <w:t>650000@chereda.net</w:t>
        </w:r>
      </w:hyperlink>
      <w:r w:rsidR="00031488" w:rsidRPr="00B21E60">
        <w:rPr>
          <w:sz w:val="24"/>
          <w:szCs w:val="24"/>
        </w:rPr>
        <w:t xml:space="preserve"> </w:t>
      </w:r>
    </w:p>
    <w:p w14:paraId="337C8709" w14:textId="77777777" w:rsidR="00B21E60" w:rsidRPr="00B21E60" w:rsidRDefault="00566370" w:rsidP="00B21E60">
      <w:pPr>
        <w:ind w:firstLine="0"/>
        <w:rPr>
          <w:sz w:val="24"/>
          <w:szCs w:val="24"/>
        </w:rPr>
      </w:pPr>
      <w:r w:rsidRPr="00B21E60">
        <w:rPr>
          <w:color w:val="000000" w:themeColor="text1"/>
          <w:sz w:val="24"/>
          <w:szCs w:val="24"/>
        </w:rPr>
        <w:t xml:space="preserve">Код ЄДРПОУ: </w:t>
      </w:r>
      <w:r w:rsidR="00B21E60" w:rsidRPr="00B21E60">
        <w:rPr>
          <w:sz w:val="24"/>
          <w:szCs w:val="24"/>
        </w:rPr>
        <w:t>31849983</w:t>
      </w:r>
    </w:p>
    <w:p w14:paraId="1223B1A5" w14:textId="2279BE0C" w:rsidR="00566370" w:rsidRPr="00B21E60" w:rsidRDefault="00566370" w:rsidP="003A6031">
      <w:pPr>
        <w:spacing w:after="120"/>
        <w:ind w:right="3542" w:firstLine="0"/>
        <w:jc w:val="both"/>
        <w:rPr>
          <w:color w:val="000000" w:themeColor="text1"/>
          <w:sz w:val="24"/>
          <w:szCs w:val="24"/>
        </w:rPr>
      </w:pPr>
      <w:r w:rsidRPr="00B21E60">
        <w:rPr>
          <w:color w:val="000000" w:themeColor="text1"/>
          <w:sz w:val="24"/>
          <w:szCs w:val="24"/>
        </w:rPr>
        <w:t xml:space="preserve">Включено до реєстру постачальників електронних комунікаційних мереж та/або послуг за № </w:t>
      </w:r>
      <w:r w:rsidR="00B21E60" w:rsidRPr="00B21E60">
        <w:rPr>
          <w:color w:val="000000" w:themeColor="text1"/>
          <w:sz w:val="24"/>
          <w:szCs w:val="24"/>
        </w:rPr>
        <w:t>312</w:t>
      </w:r>
    </w:p>
    <w:p w14:paraId="0FFCCCDF" w14:textId="77777777" w:rsidR="00B21E60" w:rsidRDefault="00566370" w:rsidP="00B21E60">
      <w:pPr>
        <w:spacing w:after="120"/>
        <w:ind w:right="3542" w:firstLine="0"/>
        <w:jc w:val="both"/>
        <w:rPr>
          <w:color w:val="000000" w:themeColor="text1"/>
          <w:sz w:val="24"/>
          <w:szCs w:val="24"/>
        </w:rPr>
      </w:pPr>
      <w:r w:rsidRPr="00B21E60">
        <w:rPr>
          <w:color w:val="000000" w:themeColor="text1"/>
          <w:sz w:val="24"/>
          <w:szCs w:val="24"/>
        </w:rPr>
        <w:t xml:space="preserve">Банківські реквізити: Розрахунковий рахунок: </w:t>
      </w:r>
      <w:r w:rsidR="00031488" w:rsidRPr="00B21E60">
        <w:rPr>
          <w:color w:val="000000" w:themeColor="text1"/>
          <w:sz w:val="24"/>
          <w:szCs w:val="24"/>
        </w:rPr>
        <w:t>UA</w:t>
      </w:r>
      <w:r w:rsidR="00B21E60" w:rsidRPr="00B21E60">
        <w:rPr>
          <w:sz w:val="24"/>
          <w:szCs w:val="24"/>
        </w:rPr>
        <w:t>713808050000000026006470405</w:t>
      </w:r>
      <w:r w:rsidR="00031488" w:rsidRPr="00B21E60">
        <w:rPr>
          <w:color w:val="000000" w:themeColor="text1"/>
          <w:sz w:val="24"/>
          <w:szCs w:val="24"/>
        </w:rPr>
        <w:t xml:space="preserve"> </w:t>
      </w:r>
    </w:p>
    <w:p w14:paraId="4063DF6D" w14:textId="704C47F9" w:rsidR="00CC3DEA" w:rsidRPr="00B21E60" w:rsidRDefault="00566370" w:rsidP="00B21E60">
      <w:pPr>
        <w:spacing w:after="120"/>
        <w:ind w:right="3542" w:firstLine="0"/>
        <w:jc w:val="both"/>
        <w:rPr>
          <w:sz w:val="24"/>
          <w:szCs w:val="24"/>
        </w:rPr>
      </w:pPr>
      <w:r w:rsidRPr="00B21E60">
        <w:rPr>
          <w:color w:val="000000" w:themeColor="text1"/>
          <w:sz w:val="24"/>
          <w:szCs w:val="24"/>
        </w:rPr>
        <w:t xml:space="preserve">в </w:t>
      </w:r>
      <w:r w:rsidR="00B21E60" w:rsidRPr="00B21E60">
        <w:rPr>
          <w:sz w:val="24"/>
          <w:szCs w:val="24"/>
        </w:rPr>
        <w:t>АТ «</w:t>
      </w:r>
      <w:proofErr w:type="spellStart"/>
      <w:r w:rsidR="00B21E60" w:rsidRPr="00B21E60">
        <w:rPr>
          <w:sz w:val="24"/>
          <w:szCs w:val="24"/>
        </w:rPr>
        <w:t>Райффазен</w:t>
      </w:r>
      <w:proofErr w:type="spellEnd"/>
      <w:r w:rsidR="00B21E60" w:rsidRPr="00B21E60">
        <w:rPr>
          <w:sz w:val="24"/>
          <w:szCs w:val="24"/>
        </w:rPr>
        <w:t xml:space="preserve"> Банк Аваль»</w:t>
      </w:r>
    </w:p>
    <w:sectPr w:rsidR="00CC3DEA" w:rsidRPr="00B21E6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876EF"/>
    <w:rsid w:val="000928AF"/>
    <w:rsid w:val="0015216D"/>
    <w:rsid w:val="00152DFC"/>
    <w:rsid w:val="001D0932"/>
    <w:rsid w:val="001E593A"/>
    <w:rsid w:val="00200946"/>
    <w:rsid w:val="002A5D96"/>
    <w:rsid w:val="003378EA"/>
    <w:rsid w:val="003A55AA"/>
    <w:rsid w:val="003A6031"/>
    <w:rsid w:val="00407669"/>
    <w:rsid w:val="004C7C3A"/>
    <w:rsid w:val="00527FAD"/>
    <w:rsid w:val="00530DC5"/>
    <w:rsid w:val="00566370"/>
    <w:rsid w:val="00597E1C"/>
    <w:rsid w:val="00610971"/>
    <w:rsid w:val="0063548F"/>
    <w:rsid w:val="007B4F9A"/>
    <w:rsid w:val="007E764A"/>
    <w:rsid w:val="00811CEC"/>
    <w:rsid w:val="008560A8"/>
    <w:rsid w:val="008624DD"/>
    <w:rsid w:val="008B77BD"/>
    <w:rsid w:val="009726CA"/>
    <w:rsid w:val="00973D06"/>
    <w:rsid w:val="00976DD3"/>
    <w:rsid w:val="00AB013B"/>
    <w:rsid w:val="00AB3454"/>
    <w:rsid w:val="00B15347"/>
    <w:rsid w:val="00B21E60"/>
    <w:rsid w:val="00B65E22"/>
    <w:rsid w:val="00C95472"/>
    <w:rsid w:val="00CB542F"/>
    <w:rsid w:val="00CC3DEA"/>
    <w:rsid w:val="00D42A4D"/>
    <w:rsid w:val="00D55747"/>
    <w:rsid w:val="00DD32CD"/>
    <w:rsid w:val="00DF3759"/>
    <w:rsid w:val="00E37477"/>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 w:type="paragraph" w:customStyle="1" w:styleId="Default">
    <w:name w:val="Default"/>
    <w:rsid w:val="00B21E60"/>
    <w:pPr>
      <w:autoSpaceDE w:val="0"/>
      <w:autoSpaceDN w:val="0"/>
      <w:adjustRightInd w:val="0"/>
      <w:spacing w:line="240" w:lineRule="auto"/>
      <w:ind w:firstLine="0"/>
    </w:pPr>
    <w:rPr>
      <w:rFonts w:eastAsia="Times New Roman"/>
      <w:color w:val="000000"/>
      <w:kern w:val="0"/>
      <w:sz w:val="24"/>
      <w:szCs w:val="24"/>
      <w:lang w:eastAsia="uk-UA"/>
    </w:rPr>
  </w:style>
  <w:style w:type="character" w:customStyle="1" w:styleId="phone">
    <w:name w:val="phone"/>
    <w:basedOn w:val="a0"/>
    <w:rsid w:val="00B21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 w:type="paragraph" w:customStyle="1" w:styleId="Default">
    <w:name w:val="Default"/>
    <w:rsid w:val="00B21E60"/>
    <w:pPr>
      <w:autoSpaceDE w:val="0"/>
      <w:autoSpaceDN w:val="0"/>
      <w:adjustRightInd w:val="0"/>
      <w:spacing w:line="240" w:lineRule="auto"/>
      <w:ind w:firstLine="0"/>
    </w:pPr>
    <w:rPr>
      <w:rFonts w:eastAsia="Times New Roman"/>
      <w:color w:val="000000"/>
      <w:kern w:val="0"/>
      <w:sz w:val="24"/>
      <w:szCs w:val="24"/>
      <w:lang w:eastAsia="uk-UA"/>
    </w:rPr>
  </w:style>
  <w:style w:type="character" w:customStyle="1" w:styleId="phone">
    <w:name w:val="phone"/>
    <w:basedOn w:val="a0"/>
    <w:rsid w:val="00B2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445387408">
      <w:bodyDiv w:val="1"/>
      <w:marLeft w:val="0"/>
      <w:marRight w:val="0"/>
      <w:marTop w:val="0"/>
      <w:marBottom w:val="0"/>
      <w:divBdr>
        <w:top w:val="none" w:sz="0" w:space="0" w:color="auto"/>
        <w:left w:val="none" w:sz="0" w:space="0" w:color="auto"/>
        <w:bottom w:val="none" w:sz="0" w:space="0" w:color="auto"/>
        <w:right w:val="none" w:sz="0" w:space="0" w:color="auto"/>
      </w:divBdr>
    </w:div>
    <w:div w:id="1062290874">
      <w:bodyDiv w:val="1"/>
      <w:marLeft w:val="0"/>
      <w:marRight w:val="0"/>
      <w:marTop w:val="0"/>
      <w:marBottom w:val="0"/>
      <w:divBdr>
        <w:top w:val="none" w:sz="0" w:space="0" w:color="auto"/>
        <w:left w:val="none" w:sz="0" w:space="0" w:color="auto"/>
        <w:bottom w:val="none" w:sz="0" w:space="0" w:color="auto"/>
        <w:right w:val="none" w:sz="0" w:space="0" w:color="auto"/>
      </w:divBdr>
    </w:div>
    <w:div w:id="1128938148">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hyperlink" Target="mailto:65000@chereda.net" TargetMode="External"/><Relationship Id="rId3" Type="http://schemas.openxmlformats.org/officeDocument/2006/relationships/styles" Target="styles.xml"/><Relationship Id="rId7" Type="http://schemas.openxmlformats.org/officeDocument/2006/relationships/hyperlink" Target="http://www.chereda.net" TargetMode="External"/><Relationship Id="rId12" Type="http://schemas.openxmlformats.org/officeDocument/2006/relationships/hyperlink" Target="http://www.chered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kek.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hereda" TargetMode="External"/><Relationship Id="rId4" Type="http://schemas.microsoft.com/office/2007/relationships/stylesWithEffects" Target="stylesWithEffects.xml"/><Relationship Id="rId9" Type="http://schemas.openxmlformats.org/officeDocument/2006/relationships/hyperlink" Target="http://www.chereda.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C5AE-4BCF-4BC5-8541-AD4812B9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18380</Words>
  <Characters>10477</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7</cp:revision>
  <dcterms:created xsi:type="dcterms:W3CDTF">2025-09-24T15:59:00Z</dcterms:created>
  <dcterms:modified xsi:type="dcterms:W3CDTF">2025-09-29T06:15:00Z</dcterms:modified>
</cp:coreProperties>
</file>